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5B" w:rsidRPr="009E315B" w:rsidRDefault="009E315B" w:rsidP="009E315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Vážený pán riaditeľ, obraciam sa na Vás ako predseda občianskeho združenia </w:t>
      </w:r>
      <w:proofErr w:type="spellStart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>Veteranis</w:t>
      </w:r>
      <w:proofErr w:type="spellEnd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</w:t>
      </w:r>
      <w:proofErr w:type="spellStart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>Militum</w:t>
      </w:r>
      <w:proofErr w:type="spellEnd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</w:t>
      </w:r>
      <w:proofErr w:type="spellStart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>Nuntium</w:t>
      </w:r>
      <w:proofErr w:type="spellEnd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</w:t>
      </w:r>
      <w:proofErr w:type="spellStart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>Muneris</w:t>
      </w:r>
      <w:proofErr w:type="spellEnd"/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v súvislosti s návrhom Ústavného zákona o starobnom dôchodkovom systéme </w:t>
      </w:r>
      <w:r w:rsidRPr="009E315B">
        <w:rPr>
          <w:rFonts w:ascii="Times New Roman" w:eastAsia="Times New Roman" w:hAnsi="Times New Roman" w:cs="Times New Roman"/>
          <w:spacing w:val="30"/>
          <w:lang w:eastAsia="sk-SK"/>
        </w:rPr>
        <w:t> </w:t>
      </w:r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> z dielne Ministerstva práce a sociálnych vecí SR. Členovia nášho občianskeho združenia, všetci poberatelia výsluhových dôchodkov, sú znepokojení návrhom toho Ústavného zákona, v ktorom nie je riešená otázka sociálneho zabezpečenia policajtov, vojakov, príslušníkov  bezpečnostných a záchranných zborov. </w:t>
      </w:r>
    </w:p>
    <w:p w:rsidR="009E315B" w:rsidRPr="009E315B" w:rsidRDefault="009E315B" w:rsidP="009E315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V čl. 2 sa hovorí ako o </w:t>
      </w:r>
      <w:r w:rsidRPr="009E315B">
        <w:rPr>
          <w:rFonts w:ascii="Times New Roman" w:eastAsia="Times New Roman" w:hAnsi="Times New Roman" w:cs="Times New Roman"/>
          <w:sz w:val="36"/>
          <w:szCs w:val="36"/>
          <w:shd w:val="clear" w:color="auto" w:fill="FFFF00"/>
          <w:lang w:eastAsia="sk-SK"/>
        </w:rPr>
        <w:t xml:space="preserve">univerzálnom systéme </w:t>
      </w:r>
      <w:r w:rsidRPr="009E315B">
        <w:rPr>
          <w:rFonts w:ascii="Times New Roman" w:eastAsia="Times New Roman" w:hAnsi="Times New Roman" w:cs="Times New Roman"/>
          <w:sz w:val="36"/>
          <w:szCs w:val="36"/>
          <w:lang w:eastAsia="sk-SK"/>
        </w:rPr>
        <w:t>na primerané hmotné zabezpečenie v starobe bez možnosti odlišnej úpravy pre konkrétne, druhovo určené skupiny zúčastnených osôb ak takúto úpravu vyložene neumožňuje tento ústavný zákon. Uvádzam citáciu z návrhu zákona:</w:t>
      </w:r>
    </w:p>
    <w:p w:rsidR="009E315B" w:rsidRPr="009E315B" w:rsidRDefault="009E315B" w:rsidP="009E315B">
      <w:pPr>
        <w:spacing w:after="2" w:line="240" w:lineRule="auto"/>
        <w:jc w:val="center"/>
        <w:rPr>
          <w:rFonts w:ascii="Calibri" w:eastAsia="Times New Roman" w:hAnsi="Calibri" w:cs="Calibri"/>
          <w:lang w:eastAsia="sk-SK"/>
        </w:rPr>
      </w:pPr>
      <w:r w:rsidRPr="009E315B">
        <w:rPr>
          <w:rFonts w:ascii="Times New Roman" w:eastAsia="Times New Roman" w:hAnsi="Times New Roman" w:cs="Times New Roman"/>
          <w:b/>
          <w:bCs/>
          <w:lang w:eastAsia="sk-SK"/>
        </w:rPr>
        <w:t>Základné ustanovenia</w:t>
      </w:r>
    </w:p>
    <w:p w:rsidR="009E315B" w:rsidRPr="009E315B" w:rsidRDefault="009E315B" w:rsidP="009E315B">
      <w:pPr>
        <w:spacing w:after="2" w:line="240" w:lineRule="auto"/>
        <w:jc w:val="center"/>
        <w:rPr>
          <w:rFonts w:ascii="Calibri" w:eastAsia="Times New Roman" w:hAnsi="Calibri" w:cs="Calibri"/>
          <w:lang w:eastAsia="sk-SK"/>
        </w:rPr>
      </w:pPr>
      <w:r w:rsidRPr="009E315B">
        <w:rPr>
          <w:rFonts w:ascii="Times New Roman" w:eastAsia="Times New Roman" w:hAnsi="Times New Roman" w:cs="Times New Roman"/>
          <w:b/>
          <w:bCs/>
          <w:lang w:eastAsia="sk-SK"/>
        </w:rPr>
        <w:t>Čl. 1</w:t>
      </w:r>
    </w:p>
    <w:p w:rsidR="009E315B" w:rsidRPr="009E315B" w:rsidRDefault="009E315B" w:rsidP="009E315B">
      <w:pPr>
        <w:spacing w:after="2" w:line="240" w:lineRule="auto"/>
        <w:ind w:firstLine="720"/>
        <w:jc w:val="both"/>
        <w:rPr>
          <w:rFonts w:ascii="Calibri" w:eastAsia="Times New Roman" w:hAnsi="Calibri" w:cs="Calibri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 xml:space="preserve">Tento ústavný zákon ustanovuje niektoré podrobnosti o základnom práve na primerané hmotné zabezpečenie v starobe a ustanovuje organizáciu starobného dôchodkového systému. </w:t>
      </w:r>
    </w:p>
    <w:p w:rsidR="009E315B" w:rsidRPr="009E315B" w:rsidRDefault="009E315B" w:rsidP="009E315B">
      <w:pPr>
        <w:spacing w:after="2" w:line="240" w:lineRule="auto"/>
        <w:rPr>
          <w:rFonts w:ascii="Calibri" w:eastAsia="Times New Roman" w:hAnsi="Calibri" w:cs="Calibri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> </w:t>
      </w:r>
    </w:p>
    <w:p w:rsidR="009E315B" w:rsidRPr="009E315B" w:rsidRDefault="009E315B" w:rsidP="009E315B">
      <w:pPr>
        <w:spacing w:after="2" w:line="240" w:lineRule="auto"/>
        <w:jc w:val="center"/>
        <w:rPr>
          <w:rFonts w:ascii="Calibri" w:eastAsia="Times New Roman" w:hAnsi="Calibri" w:cs="Calibri"/>
          <w:lang w:eastAsia="sk-SK"/>
        </w:rPr>
      </w:pPr>
      <w:r w:rsidRPr="009E315B">
        <w:rPr>
          <w:rFonts w:ascii="Times New Roman" w:eastAsia="Times New Roman" w:hAnsi="Times New Roman" w:cs="Times New Roman"/>
          <w:b/>
          <w:bCs/>
          <w:lang w:eastAsia="sk-SK"/>
        </w:rPr>
        <w:t>Čl. 2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Calibri" w:eastAsia="Times New Roman" w:hAnsi="Calibri" w:cs="Calibri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>(1)</w:t>
      </w:r>
      <w:r w:rsidRPr="009E315B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 </w:t>
      </w:r>
      <w:r w:rsidRPr="009E315B">
        <w:rPr>
          <w:rFonts w:ascii="Times New Roman" w:eastAsia="Times New Roman" w:hAnsi="Times New Roman" w:cs="Times New Roman"/>
          <w:shd w:val="clear" w:color="auto" w:fill="FFFF00"/>
          <w:lang w:eastAsia="sk-SK"/>
        </w:rPr>
        <w:t xml:space="preserve">Starobný dôchodkový systém je organizovaný ako univerzálny systém, založený na jednotných podmienkach výkonu základného práva na primerané hmotné zabezpečenie v starobe pre všetky zúčastnené osoby, bez možnosti odlišnej úpravy pre konkrétne, druhovo určené skupiny zúčastnených osôb, ak takúto úpravu výslovne neumožňuje tento ústavný zákon. 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Calibri" w:eastAsia="Times New Roman" w:hAnsi="Calibri" w:cs="Calibri"/>
          <w:lang w:eastAsia="sk-SK"/>
        </w:rPr>
      </w:pP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>V dôvodovej správe  sa k tomuto článku uvádza: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t>Princíp univerzálnosti má za cieľ zabrániť kreovaniu rôznych špeciálnych starobných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dôchodkových systémov alebo „podsystémov“, ktoré by boli zamerané na špeciálne, druhovo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určené kategórie osôb. Z tohto pravidla môžu existovať výnimky len ak to výslovne ustanovuje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návrh ústavného zákona. Jednou z možných výnimiek je možnosť na zákonnej úrovni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zohľadniť náročnosť alebo prospešnosť činnosti, ktorú osoba vykonávala a toto kritérium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činnosti použiť napr. pri nastavení zásluhovej zložky hmotného zabezpečenia v starobe. Svojho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druhu výnimku tiež predstavuje úprava čl. 17 vo vzťahu k výsluhovému zabezpečeniu podľa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zákona č. 328/2002 Z. z. v znení neskorších predpisov.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 xml:space="preserve">Vzhľadom na to, že v navrhovanom ústavnom zákone sa hovorí o zákone č. 328/2002 </w:t>
      </w:r>
      <w:proofErr w:type="spellStart"/>
      <w:r w:rsidRPr="009E315B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9E315B">
        <w:rPr>
          <w:rFonts w:ascii="Times New Roman" w:eastAsia="Times New Roman" w:hAnsi="Times New Roman" w:cs="Times New Roman"/>
          <w:lang w:eastAsia="sk-SK"/>
        </w:rPr>
        <w:t xml:space="preserve">. nemôže byť v budúcnosti zákon č. 328/2002 </w:t>
      </w:r>
      <w:proofErr w:type="spellStart"/>
      <w:r w:rsidRPr="009E315B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9E315B">
        <w:rPr>
          <w:rFonts w:ascii="Times New Roman" w:eastAsia="Times New Roman" w:hAnsi="Times New Roman" w:cs="Times New Roman"/>
          <w:lang w:eastAsia="sk-SK"/>
        </w:rPr>
        <w:t xml:space="preserve">. použitý na sociálneho zabezpečenie policajtov a vojakov pretože nie je definovaný ako výnimka v danom ústavnom zákone, ktorý má vyššiu právnu silu ako zákon 328/2020 </w:t>
      </w:r>
      <w:proofErr w:type="spellStart"/>
      <w:r w:rsidRPr="009E315B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9E315B">
        <w:rPr>
          <w:rFonts w:ascii="Times New Roman" w:eastAsia="Times New Roman" w:hAnsi="Times New Roman" w:cs="Times New Roman"/>
          <w:lang w:eastAsia="sk-SK"/>
        </w:rPr>
        <w:t>.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>V dôvodovej správe je uvedený aj komentár k článku 17, ktorý sa vzťahuje k prechodným ustanoveniam, v návrhu zákona však tento článok uvedený nie je, teda nepoznáme znenie textu. Z komentára však je zrejme, že sa uvažuje o zrušení systému výsluhového zabezpečenia.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>Text dôvodovej správy v plnom znení: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lastRenderedPageBreak/>
        <w:t>K čl. 17</w:t>
      </w:r>
      <w:r w:rsidRPr="009E315B">
        <w:rPr>
          <w:rFonts w:ascii="Times New Roman" w:eastAsia="Times New Roman" w:hAnsi="Times New Roman" w:cs="Times New Roman"/>
          <w:lang w:eastAsia="sk-SK"/>
        </w:rPr>
        <w:br/>
        <w:t xml:space="preserve">Vzhľadom na to, 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t>že jedným zo základných pravidiel pre zákonnú úpravu organizácie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a výkonu základného práva na primerané hmotné zabezpečenie v starobe je aj univerzálnosť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starobného dôchodkového systému a zákaz vytvárania „podsystémov“ napríklad na základe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kritéria druhu vykonávanej činnosti alebo druhu pracovnoprávneho vzťahu, je nevyhnutné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vyjadriť vzťah tohto návrhu ústavného zákona (a teda aj zásady univerzálnosti) k dnes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existujúcemu sociálnemu zabezpečeniu organizovanému a vykonávanému podľa zákona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č. 328/2002 Z. z. v znení neskorších predpisov v rozsahu, v akom sa ním realizuje základné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právo na primerané hmotné zabezpečenie v starobe.</w:t>
      </w:r>
      <w:r w:rsidRPr="009E315B">
        <w:rPr>
          <w:rFonts w:ascii="Times New Roman" w:eastAsia="Times New Roman" w:hAnsi="Times New Roman" w:cs="Times New Roman"/>
          <w:lang w:eastAsia="sk-SK"/>
        </w:rPr>
        <w:br/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t>Predkladateľ navrhuje tento konflikt riešiť v prospech existujúceho systému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výsluhového zabezpečenia podľa citovaného zákona v rozsahu, v akom ku dňu účinnosti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návrhu ústavného zákona bude upravený a vylúčiť tento druh sociálneho zabezpečenia</w:t>
      </w:r>
      <w:r w:rsidRPr="009E315B">
        <w:rPr>
          <w:rFonts w:ascii="Times New Roman" w:eastAsia="Times New Roman" w:hAnsi="Times New Roman" w:cs="Times New Roman"/>
          <w:shd w:val="clear" w:color="auto" w:fill="FFF2CC"/>
          <w:lang w:eastAsia="sk-SK"/>
        </w:rPr>
        <w:br/>
        <w:t>z pôsobnosti návrhu ústavného zákona.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Pravidlo ďalšej koexistencie univerzálneho dôchodkového systému a systému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výsluhového zabezpečenia je následne ustanovené tak, aby rešpektovanie osobitnej úpravy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výkonu základného práva na primerané hmotné zabezpečenie v starobe, ak je realizované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v systéme dnešného výsluhového zabezpečenia podľa zákona č. 328/2002 Z. z. v znení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neskorších predpisov zostalo zachované dovtedy, dokedy nebude bez náhrady zrušené alebo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dokedy bude v čo aj zúženej podobe existovať. Inak povedané, ak bude vecná pôsobnosť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citovaného zákona zúžená, tak v rozsahu zúženia sa na dotknutú skupinu osôb dnes účastných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na systéme výsluhového zabezpečenia bude vzťahovať všeobecná úprava starobného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dôchodkového systému. To isté platí aj pre prípad zúženia vecnej pôsobnosti, resp. pre prípad</w:t>
      </w:r>
      <w:r w:rsidRPr="009E315B">
        <w:rPr>
          <w:rFonts w:ascii="Times New Roman" w:eastAsia="Times New Roman" w:hAnsi="Times New Roman" w:cs="Times New Roman"/>
          <w:lang w:eastAsia="sk-SK"/>
        </w:rPr>
        <w:br/>
        <w:t>zrušenia tohto osobitného systému bez náhrady.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 xml:space="preserve">Vzhľadom </w:t>
      </w:r>
      <w:proofErr w:type="spellStart"/>
      <w:r w:rsidRPr="009E315B">
        <w:rPr>
          <w:rFonts w:ascii="Times New Roman" w:eastAsia="Times New Roman" w:hAnsi="Times New Roman" w:cs="Times New Roman"/>
          <w:lang w:eastAsia="sk-SK"/>
        </w:rPr>
        <w:t>ny</w:t>
      </w:r>
      <w:proofErr w:type="spellEnd"/>
      <w:r w:rsidRPr="009E315B">
        <w:rPr>
          <w:rFonts w:ascii="Times New Roman" w:eastAsia="Times New Roman" w:hAnsi="Times New Roman" w:cs="Times New Roman"/>
          <w:lang w:eastAsia="sk-SK"/>
        </w:rPr>
        <w:t xml:space="preserve"> vyššie uvedené preto navrhujeme, aby bol doplnený bod 2a nasledujúceho znenia:</w:t>
      </w: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9E315B" w:rsidRPr="009E315B" w:rsidRDefault="009E315B" w:rsidP="009E315B">
      <w:p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E315B">
        <w:rPr>
          <w:rFonts w:ascii="Times New Roman" w:eastAsia="Times New Roman" w:hAnsi="Times New Roman" w:cs="Times New Roman"/>
          <w:lang w:eastAsia="sk-SK"/>
        </w:rPr>
        <w:t>Tento zákon sa nevzťahuje na systém osobitného dôchodkového zabezpečenia policajtov, vojakov, príslušníkov bezpečnostných a záchranných zborov.</w:t>
      </w:r>
    </w:p>
    <w:p w:rsidR="008D1C35" w:rsidRDefault="008D1C35">
      <w:bookmarkStart w:id="0" w:name="_GoBack"/>
      <w:bookmarkEnd w:id="0"/>
    </w:p>
    <w:sectPr w:rsidR="008D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5B"/>
    <w:rsid w:val="008D1C35"/>
    <w:rsid w:val="009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C477-73C9-44C5-AEE3-1913A2E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y"/>
    <w:rsid w:val="009E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2020-11-22T21:46:00Z</dcterms:created>
  <dcterms:modified xsi:type="dcterms:W3CDTF">2020-11-22T21:47:00Z</dcterms:modified>
</cp:coreProperties>
</file>