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E6E" w:rsidRPr="0006475A" w:rsidRDefault="00040E6E" w:rsidP="00040E6E">
      <w:pPr>
        <w:rPr>
          <w:rFonts w:ascii="Times New Roman" w:hAnsi="Times New Roman" w:cs="Times New Roman"/>
        </w:rPr>
      </w:pPr>
      <w:r>
        <w:rPr>
          <w:rFonts w:ascii="Times New Roman" w:eastAsia="Times New Roman" w:hAnsi="Times New Roman" w:cs="Times New Roman"/>
          <w:sz w:val="24"/>
          <w:szCs w:val="24"/>
          <w:lang w:eastAsia="sk-SK"/>
        </w:rPr>
        <w:t xml:space="preserve"> </w:t>
      </w:r>
      <w:r w:rsidRPr="0006475A">
        <w:rPr>
          <w:rFonts w:ascii="Times New Roman" w:hAnsi="Times New Roman" w:cs="Times New Roman"/>
          <w:b/>
          <w:sz w:val="36"/>
          <w:szCs w:val="36"/>
        </w:rPr>
        <w:t>Valorizácia výsluhových dôchodkov v roku 2019</w:t>
      </w:r>
    </w:p>
    <w:p w:rsidR="00040E6E" w:rsidRPr="0006475A" w:rsidRDefault="00D71E2E" w:rsidP="00040E6E">
      <w:pPr>
        <w:spacing w:before="100" w:beforeAutospacing="1" w:after="100" w:afterAutospacing="1"/>
        <w:rPr>
          <w:rFonts w:ascii="Times New Roman" w:hAnsi="Times New Roman" w:cs="Times New Roman"/>
        </w:rPr>
      </w:pPr>
      <w:r w:rsidRPr="0006475A">
        <w:rPr>
          <w:rFonts w:ascii="Times New Roman" w:hAnsi="Times New Roman" w:cs="Times New Roman"/>
        </w:rPr>
        <w:t>Publikované 30</w:t>
      </w:r>
      <w:r w:rsidR="00040E6E" w:rsidRPr="0006475A">
        <w:rPr>
          <w:rFonts w:ascii="Times New Roman" w:hAnsi="Times New Roman" w:cs="Times New Roman"/>
        </w:rPr>
        <w:t>. augusta 2018                                                                    Autor.  Dr. Milan Kolen</w:t>
      </w:r>
      <w:bookmarkStart w:id="0" w:name="_GoBack"/>
      <w:bookmarkEnd w:id="0"/>
    </w:p>
    <w:p w:rsidR="00040E6E" w:rsidRPr="0006475A" w:rsidRDefault="00040E6E" w:rsidP="00040E6E">
      <w:pPr>
        <w:spacing w:before="100" w:beforeAutospacing="1" w:after="100" w:afterAutospacing="1"/>
        <w:jc w:val="both"/>
        <w:rPr>
          <w:rFonts w:ascii="Times New Roman" w:hAnsi="Times New Roman" w:cs="Times New Roman"/>
        </w:rPr>
      </w:pPr>
      <w:r w:rsidRPr="0006475A">
        <w:rPr>
          <w:rFonts w:ascii="Times New Roman" w:hAnsi="Times New Roman" w:cs="Times New Roman"/>
        </w:rPr>
        <w:t xml:space="preserve">Niekoľko krát sa menil valorizačný mechanizmus v osobitnom systéme sociálneho zabezpečenia podľa zákona č. 328/2002 Z. z. o sociálnom zabezpečení policajtov a vojakov. Podľa § 68 ods.1  tohto zákona sa od 01.07.2018  výsluhové dôchodky, invalidné výsluhové dôchodky, vdovské, vdovecké výsluhové dôchodky  a sirotské výsluhové dôchodky  zvyšujú o percento  zvýšenia dôchodkových dávok ustanovených vo všeobecných predpisoch o sociálnom poistení. To je podľa ustanovení § 82 zákona č. 461/2003 Z. z. o sociálnom poistení sa dôchodkové dávky  zvyšujú o percento medziročného rastu  spotrebiteľských cien za domácnosti dôchodcov o takzvanú dôchodcovskú infláciu. Pre roky 2018 -2021 sa dôchodkové dávky zvyšujú podľa  § 293dx prechodné </w:t>
      </w:r>
      <w:r w:rsidR="003C5E66" w:rsidRPr="0006475A">
        <w:rPr>
          <w:rFonts w:ascii="Times New Roman" w:hAnsi="Times New Roman" w:cs="Times New Roman"/>
        </w:rPr>
        <w:t>u</w:t>
      </w:r>
      <w:r w:rsidRPr="0006475A">
        <w:rPr>
          <w:rFonts w:ascii="Times New Roman" w:hAnsi="Times New Roman" w:cs="Times New Roman"/>
        </w:rPr>
        <w:t xml:space="preserve">stanovenia najmenej o pevnú sumu určenú 2 % z priemernej mesačnej sumy príslušnej dôchodcovskej dávky. </w:t>
      </w:r>
    </w:p>
    <w:p w:rsidR="00040E6E" w:rsidRPr="0006475A" w:rsidRDefault="00040E6E" w:rsidP="00040E6E">
      <w:pPr>
        <w:spacing w:before="100" w:beforeAutospacing="1" w:after="100" w:afterAutospacing="1"/>
        <w:jc w:val="both"/>
        <w:rPr>
          <w:rFonts w:ascii="Times New Roman" w:hAnsi="Times New Roman" w:cs="Times New Roman"/>
        </w:rPr>
      </w:pPr>
      <w:r w:rsidRPr="0006475A">
        <w:rPr>
          <w:rFonts w:ascii="Times New Roman" w:hAnsi="Times New Roman" w:cs="Times New Roman"/>
        </w:rPr>
        <w:t>Dňa 03.04.2018 MV SR do medzirezortného pripomienkovania predložilo  návrh na novelizáciu § 68 ods.1 zákona č.  328 v závislosti od pevnej sumy ktorá sa zistí ako súčin 0,4 násobku percentuálneho zvýšenia  funkčných platov, hodnostných platov alebo stupnice platových taríf a priemernej mesačne</w:t>
      </w:r>
      <w:r w:rsidR="007C3D29" w:rsidRPr="0006475A">
        <w:rPr>
          <w:rFonts w:ascii="Times New Roman" w:hAnsi="Times New Roman" w:cs="Times New Roman"/>
        </w:rPr>
        <w:t>j</w:t>
      </w:r>
      <w:r w:rsidRPr="0006475A">
        <w:rPr>
          <w:rFonts w:ascii="Times New Roman" w:hAnsi="Times New Roman" w:cs="Times New Roman"/>
        </w:rPr>
        <w:t xml:space="preserve"> sumy VD zistenej ku dňu decembra pr</w:t>
      </w:r>
      <w:r w:rsidR="007C3D29" w:rsidRPr="0006475A">
        <w:rPr>
          <w:rFonts w:ascii="Times New Roman" w:hAnsi="Times New Roman" w:cs="Times New Roman"/>
        </w:rPr>
        <w:t>edchádzajúceho kalendárneho roku</w:t>
      </w:r>
      <w:r w:rsidRPr="0006475A">
        <w:rPr>
          <w:rFonts w:ascii="Times New Roman" w:hAnsi="Times New Roman" w:cs="Times New Roman"/>
        </w:rPr>
        <w:t xml:space="preserve"> zaokrúhlenej na celé euro smerom nahor a následne sa vydelí číslom 25. Takto zistená pevná suma sa vynásobí počtom skončených  rokov doby trvania služobného pomeru. V rámci pripomienkového konania k tejto novele zákona Dr. Milan Kolen a prezident APVV JUDr. </w:t>
      </w:r>
      <w:proofErr w:type="spellStart"/>
      <w:r w:rsidRPr="0006475A">
        <w:rPr>
          <w:rFonts w:ascii="Times New Roman" w:hAnsi="Times New Roman" w:cs="Times New Roman"/>
        </w:rPr>
        <w:t>Hristo</w:t>
      </w:r>
      <w:proofErr w:type="spellEnd"/>
      <w:r w:rsidRPr="0006475A">
        <w:rPr>
          <w:rFonts w:ascii="Times New Roman" w:hAnsi="Times New Roman" w:cs="Times New Roman"/>
        </w:rPr>
        <w:t xml:space="preserve"> </w:t>
      </w:r>
      <w:proofErr w:type="spellStart"/>
      <w:r w:rsidRPr="0006475A">
        <w:rPr>
          <w:rFonts w:ascii="Times New Roman" w:hAnsi="Times New Roman" w:cs="Times New Roman"/>
        </w:rPr>
        <w:t>Gluškov</w:t>
      </w:r>
      <w:proofErr w:type="spellEnd"/>
      <w:r w:rsidRPr="0006475A">
        <w:rPr>
          <w:rFonts w:ascii="Times New Roman" w:hAnsi="Times New Roman" w:cs="Times New Roman"/>
        </w:rPr>
        <w:t xml:space="preserve">   predložili svoje Hromadné pripomienky ktorými  žiadali, aby valorizácia VD  v rokoch 2018 – 2021 bola rovnaká ako ju majú civilisti, to je o dôchodcovskú infláciu s garantovaným zvýšením najmenej o pevnú sumu určenú 2 % z priemernej mesačnej sumy príslušnej dôchodkovej dávky ak by dôchodcovská inflácia bola nižšia ako 2 % . Naše hromadné pripomienky neboli zrealizované. Pre pochopenie objasním dôvody prečo MF SR bolo proti takejto novelizácii. </w:t>
      </w:r>
    </w:p>
    <w:p w:rsidR="00040E6E" w:rsidRPr="0006475A" w:rsidRDefault="00040E6E" w:rsidP="00040E6E">
      <w:pPr>
        <w:jc w:val="both"/>
        <w:rPr>
          <w:rFonts w:ascii="Times New Roman" w:hAnsi="Times New Roman" w:cs="Times New Roman"/>
          <w:u w:val="single"/>
        </w:rPr>
      </w:pPr>
      <w:r w:rsidRPr="0006475A">
        <w:rPr>
          <w:rFonts w:ascii="Times New Roman" w:hAnsi="Times New Roman" w:cs="Times New Roman"/>
          <w:u w:val="single"/>
        </w:rPr>
        <w:t xml:space="preserve">K pripravovanej novelizácii  zákona o sociálnom zabezpečení policajtov a vojakov MF SR a Kancelária Rady pre rozpočtovú zodpovednosť v rámci </w:t>
      </w:r>
      <w:proofErr w:type="spellStart"/>
      <w:r w:rsidRPr="0006475A">
        <w:rPr>
          <w:rFonts w:ascii="Times New Roman" w:hAnsi="Times New Roman" w:cs="Times New Roman"/>
          <w:u w:val="single"/>
        </w:rPr>
        <w:t>rozporového</w:t>
      </w:r>
      <w:proofErr w:type="spellEnd"/>
      <w:r w:rsidRPr="0006475A">
        <w:rPr>
          <w:rFonts w:ascii="Times New Roman" w:hAnsi="Times New Roman" w:cs="Times New Roman"/>
          <w:u w:val="single"/>
        </w:rPr>
        <w:t xml:space="preserve"> konania začiatkom apríla 2018 predložili tieto zásadné pripomienky:</w:t>
      </w:r>
    </w:p>
    <w:p w:rsidR="00040E6E" w:rsidRPr="0006475A" w:rsidRDefault="00040E6E" w:rsidP="00040E6E">
      <w:pPr>
        <w:spacing w:after="0"/>
        <w:jc w:val="both"/>
        <w:rPr>
          <w:rFonts w:ascii="Times New Roman" w:hAnsi="Times New Roman" w:cs="Times New Roman"/>
          <w:u w:val="single"/>
        </w:rPr>
      </w:pPr>
      <w:r w:rsidRPr="0006475A">
        <w:rPr>
          <w:rFonts w:ascii="Times New Roman" w:hAnsi="Times New Roman" w:cs="Times New Roman"/>
        </w:rPr>
        <w:t xml:space="preserve">- </w:t>
      </w:r>
      <w:r w:rsidRPr="0006475A">
        <w:rPr>
          <w:rFonts w:ascii="Times New Roman" w:hAnsi="Times New Roman" w:cs="Times New Roman"/>
          <w:b/>
        </w:rPr>
        <w:t>MFSR  žiadalo, aby sa valorizácia VD určovala podľa platného znenia § 68 ods. 16 zákona č. 328/2002 Z. z.</w:t>
      </w:r>
      <w:r w:rsidRPr="0006475A">
        <w:rPr>
          <w:rFonts w:ascii="Times New Roman" w:hAnsi="Times New Roman" w:cs="Times New Roman"/>
        </w:rPr>
        <w:t xml:space="preserve"> o sociálnom zabezpečení policajtov a vojakov (podľa novelizovaného § 82 podľa výšky dôchodcovskej inflácie a § 293dx s garantovaným 2 % zvýšením zákon č. 461/2003 Z. z.), pretože návrh predpokladá negatívny vplyv na dlhodobú udržateľnosť verejných financií. </w:t>
      </w:r>
      <w:r w:rsidRPr="0006475A">
        <w:rPr>
          <w:rFonts w:ascii="Times New Roman" w:hAnsi="Times New Roman" w:cs="Times New Roman"/>
          <w:u w:val="single"/>
        </w:rPr>
        <w:t>Od valorizácie VD zohľadňujúcej rast miezd upustila novelizácia zákona</w:t>
      </w:r>
      <w:r w:rsidRPr="0006475A">
        <w:rPr>
          <w:rFonts w:ascii="Times New Roman" w:hAnsi="Times New Roman" w:cs="Times New Roman"/>
        </w:rPr>
        <w:t xml:space="preserve">   o sociálnom zabezpečení policajtov a vojakov </w:t>
      </w:r>
      <w:r w:rsidRPr="0006475A">
        <w:rPr>
          <w:rFonts w:ascii="Times New Roman" w:hAnsi="Times New Roman" w:cs="Times New Roman"/>
          <w:u w:val="single"/>
        </w:rPr>
        <w:t>v roku 2013,</w:t>
      </w:r>
      <w:r w:rsidRPr="0006475A">
        <w:rPr>
          <w:rFonts w:ascii="Times New Roman" w:hAnsi="Times New Roman" w:cs="Times New Roman"/>
        </w:rPr>
        <w:t xml:space="preserve"> </w:t>
      </w:r>
      <w:r w:rsidRPr="0006475A">
        <w:rPr>
          <w:rFonts w:ascii="Times New Roman" w:hAnsi="Times New Roman" w:cs="Times New Roman"/>
          <w:u w:val="single"/>
        </w:rPr>
        <w:t xml:space="preserve">ktorá mala za cieľ  valorizáciu VD vykonávať podľa inflácie a zabezpečiť dlhodobú udržateľnosť osobitného systému sociálneho zabezpečenia. </w:t>
      </w:r>
    </w:p>
    <w:p w:rsidR="00040E6E" w:rsidRPr="0006475A" w:rsidRDefault="00040E6E" w:rsidP="00040E6E">
      <w:pPr>
        <w:spacing w:after="0"/>
        <w:jc w:val="both"/>
        <w:rPr>
          <w:rFonts w:ascii="Times New Roman" w:hAnsi="Times New Roman" w:cs="Times New Roman"/>
          <w:u w:val="single"/>
        </w:rPr>
      </w:pPr>
    </w:p>
    <w:p w:rsidR="00040E6E" w:rsidRPr="0006475A" w:rsidRDefault="00040E6E" w:rsidP="00040E6E">
      <w:pPr>
        <w:spacing w:after="0"/>
        <w:jc w:val="both"/>
        <w:rPr>
          <w:rFonts w:ascii="Times New Roman" w:hAnsi="Times New Roman" w:cs="Times New Roman"/>
        </w:rPr>
      </w:pPr>
      <w:r w:rsidRPr="0006475A">
        <w:rPr>
          <w:rFonts w:ascii="Times New Roman" w:hAnsi="Times New Roman" w:cs="Times New Roman"/>
        </w:rPr>
        <w:t>- Dôchodkový systém vojakov má záporné saldo a návrh spomalí znižovanie záporného salda vojakov. Približne polovica vyplácaných VD musí byť dotovaná z kapitoly ministerstva obrany, to je zo štátneho rozpočtu. Poberatelia VD z osobitného systému sociálneho zabezpečenia v súčasnosti poberajú v priemere oveľa vyšší dôchodok (744 eur) v porovnaní so SD zo všeobecného systému sociálneho poistenia (439 eur). Navrhovaná valorizácia VD by tento rozdiel bola zväčšila. Udržanie reálnej výšky a kúpyschopnosti VD v čase dostatočne reflektuje dôchodcovská inflácia.  Navrhované znenie zákona predpokladalo trvalú zmenu valorizácie v reakcii na dočasné opatrenie vo všeobecnom penzijnom systéme.</w:t>
      </w:r>
    </w:p>
    <w:p w:rsidR="00040E6E" w:rsidRPr="0006475A" w:rsidRDefault="00040E6E" w:rsidP="00040E6E">
      <w:pPr>
        <w:spacing w:after="0"/>
        <w:jc w:val="both"/>
        <w:rPr>
          <w:rFonts w:ascii="Times New Roman" w:hAnsi="Times New Roman" w:cs="Times New Roman"/>
        </w:rPr>
      </w:pPr>
    </w:p>
    <w:p w:rsidR="00040E6E" w:rsidRPr="0006475A" w:rsidRDefault="00040E6E" w:rsidP="00040E6E">
      <w:pPr>
        <w:spacing w:after="0"/>
        <w:jc w:val="both"/>
        <w:rPr>
          <w:rFonts w:ascii="Times New Roman" w:hAnsi="Times New Roman" w:cs="Times New Roman"/>
        </w:rPr>
      </w:pPr>
      <w:r w:rsidRPr="0006475A">
        <w:rPr>
          <w:rFonts w:ascii="Times New Roman" w:hAnsi="Times New Roman" w:cs="Times New Roman"/>
        </w:rPr>
        <w:lastRenderedPageBreak/>
        <w:t>- Priemerný VD je oveľa vyšší ako priemerný SD (ozbrojenci na dôchodkové poistenie odvádzajú 7 % z svojho hrubého platu a občania len 4 %). Ak by bola novela  zákona prijatá tempo rastu VD by bolo vyššie ako u SD a rozdiel v priemernom dôchodku by sa bol prehlboval. Navrhovaný spôsob valorizácie vychádzal zo súčasnej priemernej doby služby   na VD  25 rokov. Po uplynutí prechodného obdobia bude minimálna služobná doba pre vznik nároku na VD 25 rokov, bude koeficient zohľadňujúci služobnú dobu v dlhom období úroveň valorizácie zvyšovať nad rámec 0,4 násobku percentuálneho nárastu funkčných platov.</w:t>
      </w:r>
    </w:p>
    <w:p w:rsidR="00040E6E" w:rsidRPr="0006475A" w:rsidRDefault="00040E6E" w:rsidP="00040E6E">
      <w:pPr>
        <w:spacing w:after="0"/>
        <w:jc w:val="both"/>
        <w:rPr>
          <w:rFonts w:ascii="Times New Roman" w:hAnsi="Times New Roman" w:cs="Times New Roman"/>
        </w:rPr>
      </w:pPr>
    </w:p>
    <w:p w:rsidR="00040E6E" w:rsidRPr="0006475A" w:rsidRDefault="00040E6E" w:rsidP="00040E6E">
      <w:pPr>
        <w:spacing w:after="0"/>
        <w:jc w:val="both"/>
        <w:rPr>
          <w:rFonts w:ascii="Times New Roman" w:hAnsi="Times New Roman" w:cs="Times New Roman"/>
        </w:rPr>
      </w:pPr>
      <w:r w:rsidRPr="0006475A">
        <w:rPr>
          <w:rFonts w:ascii="Times New Roman" w:hAnsi="Times New Roman" w:cs="Times New Roman"/>
        </w:rPr>
        <w:t xml:space="preserve"> - Osobitný účet vojakov je v deficite.  Asi polovicu  výdavkov na dávky výsluhového zabezpečenia sú hradené z kapitoly ministerstva obrany, teda zo štátneho rozpočtu.  Osobitný účet MV SR v roku 2017 hospodáril s prebytkom približne 1 mil. eur, aj ostatné osobitné účty sú prebytkové.  Ak by bolo došlo k prijatiu navrhovanej novelizácii zákona osobitný účet MV SR ako aj ďalšie účty by sa asi už v roku 2018 dostali do deficitu.</w:t>
      </w:r>
    </w:p>
    <w:p w:rsidR="00040E6E" w:rsidRPr="0006475A" w:rsidRDefault="00040E6E" w:rsidP="00040E6E">
      <w:pPr>
        <w:spacing w:after="0"/>
        <w:jc w:val="both"/>
        <w:rPr>
          <w:rFonts w:ascii="Times New Roman" w:hAnsi="Times New Roman" w:cs="Times New Roman"/>
        </w:rPr>
      </w:pPr>
    </w:p>
    <w:p w:rsidR="00040E6E" w:rsidRPr="0006475A" w:rsidRDefault="00040E6E" w:rsidP="00040E6E">
      <w:pPr>
        <w:spacing w:after="0"/>
        <w:jc w:val="both"/>
        <w:rPr>
          <w:rFonts w:ascii="Times New Roman" w:hAnsi="Times New Roman" w:cs="Times New Roman"/>
        </w:rPr>
      </w:pPr>
      <w:r w:rsidRPr="0006475A">
        <w:rPr>
          <w:rFonts w:ascii="Times New Roman" w:hAnsi="Times New Roman" w:cs="Times New Roman"/>
        </w:rPr>
        <w:t>Objasním z akých dôvodov je osobitný účet vojakov v deficite, prečo je potrebné ho dotovať?  Je to  z dôvodu reorganizačných zmien v rokoch 2001 - 2005, kedy došlo k znižovaniu počtov vojakov (zo 46.000 vrátane VZS na 12.000 profesionálov), čím došlo k zníženiu sumy odvodov na dôchodkové poistenie. Na druhej strane došlo k zvyšovaniu počtu VD čím došlo k zvýšeniu výdavkov. Ďalej, tí ktorí mali odslúžených viac ako 15 rokov a menej ako 30 rokov sa im pre výpočet SD o polovicu zvýšil počet odslúžených rokov, čím sa zvýšili výdavky osobitného účtu vojakov.  Ďalej, z dôvodu vstupu armády do NATO došlo k vyššiemu rastu platov len vojakov, čím  v roku 2006 došlo k rastu VD o viac ako 10 %  a v roku 2007  o viac ako 20 %. Ďalším dôvodom je, že ozbrojeným silám chýba asi 4.000 vojakov čo sa prejavuje v značnom znížení odvedenej  sumy na dôchodkové poistenie atď. Uvedené skutočnosti, politické rozhodnutie (čo nezapríčinili vojaci) majú negatívny vplyv na   deficit osobitného účtu vojakov. Osobitné účty ostatných ozbrojených bezpečnostných a záchranných zborov sú od roku 2017 prebytkové a nie je potrebné ich zo štátneho rozpočtu dotovať.  Z uvedených dôvodov nie je osobitný účet vojakov prebytkový a je potrebné ho zo štátneho rozpočtu dotovať, čo bude trvať niekoľko rokov.</w:t>
      </w:r>
    </w:p>
    <w:p w:rsidR="00040E6E" w:rsidRPr="0006475A" w:rsidRDefault="00040E6E" w:rsidP="00040E6E">
      <w:pPr>
        <w:spacing w:after="0"/>
        <w:jc w:val="both"/>
      </w:pPr>
      <w:r w:rsidRPr="0006475A">
        <w:rPr>
          <w:rFonts w:ascii="Times New Roman" w:hAnsi="Times New Roman" w:cs="Times New Roman"/>
        </w:rPr>
        <w:t>Na stav osobitných účtov majú vplyv aj tieto skutočnosti ktoré sa s stali v prechádzajúcich rokoch ako sú.</w:t>
      </w:r>
      <w:r w:rsidRPr="0006475A">
        <w:t xml:space="preserve"> </w:t>
      </w:r>
      <w:r w:rsidRPr="0006475A">
        <w:rPr>
          <w:rStyle w:val="Siln"/>
        </w:rPr>
        <w:t>Do 1.8.2008 prebytkové peniaze</w:t>
      </w:r>
      <w:r w:rsidRPr="0006475A">
        <w:t xml:space="preserve"> ozbrojených bezpečnostných a záchranných zborov z ich osobitných účtov boli odvádzané do štátneho rozpočtu. Napríklad z osobitného účtu MV SR bolo odvedených </w:t>
      </w:r>
      <w:r w:rsidRPr="0006475A">
        <w:rPr>
          <w:rStyle w:val="Siln"/>
        </w:rPr>
        <w:t>137,912 mil.</w:t>
      </w:r>
      <w:r w:rsidRPr="0006475A">
        <w:t xml:space="preserve"> Eur, čo by postačovalo na vyplácanie všetkých druhov VD a nebolo by potrebné ich dotovať. Odvedené </w:t>
      </w:r>
      <w:r w:rsidRPr="0006475A">
        <w:rPr>
          <w:rStyle w:val="Siln"/>
        </w:rPr>
        <w:t>odvody</w:t>
      </w:r>
      <w:r w:rsidRPr="0006475A">
        <w:t xml:space="preserve"> na starobné poistenie do SP vojakov do 30. apríla 1998 a ostatných príslušníkov ozbrojených bezpečnostných a záchranných zborov do 30. júna 2002 po vzniku osobitných účtov </w:t>
      </w:r>
      <w:r w:rsidRPr="0006475A">
        <w:rPr>
          <w:rStyle w:val="Siln"/>
        </w:rPr>
        <w:t>neboli prevedené na osobitné účty</w:t>
      </w:r>
      <w:r w:rsidRPr="0006475A">
        <w:t xml:space="preserve">, čo predstavuje niekoľko  miliónov eur. </w:t>
      </w:r>
    </w:p>
    <w:p w:rsidR="00040E6E" w:rsidRPr="0006475A" w:rsidRDefault="00040E6E" w:rsidP="00040E6E">
      <w:pPr>
        <w:pStyle w:val="Normlnywebov"/>
        <w:rPr>
          <w:u w:val="single"/>
        </w:rPr>
      </w:pPr>
      <w:r w:rsidRPr="0006475A">
        <w:rPr>
          <w:color w:val="FFFFFF"/>
        </w:rPr>
        <w:t>.</w:t>
      </w:r>
      <w:r w:rsidRPr="0006475A">
        <w:t xml:space="preserve">- Novela zákona č. 328/2002 </w:t>
      </w:r>
      <w:proofErr w:type="spellStart"/>
      <w:r w:rsidRPr="0006475A">
        <w:t>Z.z</w:t>
      </w:r>
      <w:proofErr w:type="spellEnd"/>
      <w:r w:rsidRPr="0006475A">
        <w:t xml:space="preserve">. z roku 2013 (zákon č. 80/2013 </w:t>
      </w:r>
      <w:proofErr w:type="spellStart"/>
      <w:r w:rsidRPr="0006475A">
        <w:t>Z.z</w:t>
      </w:r>
      <w:proofErr w:type="spellEnd"/>
      <w:r w:rsidRPr="0006475A">
        <w:t xml:space="preserve">.) mala za cieľ znížiť výdavky osobitných účtov a zabezpečiť ich </w:t>
      </w:r>
      <w:proofErr w:type="spellStart"/>
      <w:r w:rsidRPr="0006475A">
        <w:t>prebytkovosť</w:t>
      </w:r>
      <w:proofErr w:type="spellEnd"/>
      <w:r w:rsidRPr="0006475A">
        <w:t xml:space="preserve"> a stabilizáciu, čo sa s výnimkou účtu vojakov v roku 2017 podarilo dosiahnuť. </w:t>
      </w:r>
      <w:r w:rsidRPr="0006475A">
        <w:rPr>
          <w:u w:val="single"/>
        </w:rPr>
        <w:t>Tieto úpravy reagovali na negatívnu skúsenosť  valorizáciu VD vykonávať na základe  rast</w:t>
      </w:r>
      <w:r w:rsidR="003C5E66" w:rsidRPr="0006475A">
        <w:rPr>
          <w:u w:val="single"/>
        </w:rPr>
        <w:t>u</w:t>
      </w:r>
      <w:r w:rsidRPr="0006475A">
        <w:rPr>
          <w:u w:val="single"/>
        </w:rPr>
        <w:t xml:space="preserve"> služobných platov</w:t>
      </w:r>
      <w:r w:rsidRPr="0006475A">
        <w:t xml:space="preserve">, ktoré po vstupe do NATO vygenerovali prudký rast VD vojakov o viac ako 10% v roku 2006 a o viac ako 20% v roku 2007. </w:t>
      </w:r>
      <w:r w:rsidRPr="0006475A">
        <w:rPr>
          <w:u w:val="single"/>
        </w:rPr>
        <w:t xml:space="preserve">Ako konštatovala Rada pre rozpočtovú zodpovednosť v Správe o dlhodobej udržateľnosti verejných financií v apríli 2014, prijatím novely došlo k výraznému zlepšeniu udržateľnosti výsluhových penzijných systémov a naviazanie valorizácie na vývoj dôchodcovskej inflácie bolo v tomto kontexte jedným z najdôležitejších opatrení. </w:t>
      </w:r>
    </w:p>
    <w:p w:rsidR="00040E6E" w:rsidRPr="0006475A" w:rsidRDefault="00040E6E" w:rsidP="00040E6E">
      <w:pPr>
        <w:spacing w:after="0"/>
        <w:jc w:val="both"/>
        <w:rPr>
          <w:rFonts w:ascii="Times New Roman" w:hAnsi="Times New Roman" w:cs="Times New Roman"/>
          <w:u w:val="single"/>
        </w:rPr>
      </w:pPr>
    </w:p>
    <w:p w:rsidR="00040E6E" w:rsidRPr="0006475A" w:rsidRDefault="00040E6E" w:rsidP="00040E6E">
      <w:pPr>
        <w:jc w:val="both"/>
        <w:rPr>
          <w:rFonts w:ascii="Times New Roman" w:hAnsi="Times New Roman" w:cs="Times New Roman"/>
        </w:rPr>
      </w:pPr>
      <w:r w:rsidRPr="0006475A">
        <w:rPr>
          <w:rFonts w:ascii="Times New Roman" w:hAnsi="Times New Roman" w:cs="Times New Roman"/>
        </w:rPr>
        <w:t xml:space="preserve">Na základe zaslaných zásadných pripomienok ministerstvom financií k novelizácii zákona o sociálnom zabezpečení  z dôvodu, aby v roku 2018 boli valorizované VD ministerstvo vnútra na Legislatívnu radu </w:t>
      </w:r>
      <w:r w:rsidRPr="0006475A">
        <w:rPr>
          <w:rFonts w:ascii="Times New Roman" w:hAnsi="Times New Roman" w:cs="Times New Roman"/>
        </w:rPr>
        <w:lastRenderedPageBreak/>
        <w:t xml:space="preserve">vlády ktorá sa konala 17.04.2018  po </w:t>
      </w:r>
      <w:proofErr w:type="spellStart"/>
      <w:r w:rsidRPr="0006475A">
        <w:rPr>
          <w:rFonts w:ascii="Times New Roman" w:hAnsi="Times New Roman" w:cs="Times New Roman"/>
        </w:rPr>
        <w:t>rozporových</w:t>
      </w:r>
      <w:proofErr w:type="spellEnd"/>
      <w:r w:rsidRPr="0006475A">
        <w:rPr>
          <w:rFonts w:ascii="Times New Roman" w:hAnsi="Times New Roman" w:cs="Times New Roman"/>
        </w:rPr>
        <w:t xml:space="preserve"> konaniach predložilo návrh z ktorého vypustilo  novelizáciu § 68 ods. 1, ale s dopracovaním  ustanovenia § 143ah sa len v roku 2018 VD zvyšujú za každý skončený rok  o pevnú sumu 0,60 eur, ktorá bola štedrá. </w:t>
      </w:r>
      <w:r w:rsidRPr="0006475A">
        <w:rPr>
          <w:rFonts w:ascii="Times New Roman" w:hAnsi="Times New Roman" w:cs="Times New Roman"/>
          <w:b/>
        </w:rPr>
        <w:t>Táto zmena nestabilizovala osobitné účty ale naopak, zbrzdila ich stabilizáciu</w:t>
      </w:r>
      <w:r w:rsidRPr="0006475A">
        <w:rPr>
          <w:rFonts w:ascii="Times New Roman" w:hAnsi="Times New Roman" w:cs="Times New Roman"/>
        </w:rPr>
        <w:t>. Všetkým poberateľom výsluhových dávok  oproti poberateľom dôchodkových dávok zvýšila výšku valorizácie VD v rozmedzí od 9 eur pri 15 rokoch do 24 eur pri 40 rokoch. Invalidným, vdovským, vdoveckým a sirotským VD zvýšila o pevnú sumu  15 eur oproti  valorizácii SD  pevnou sumou o 8,40 eur a invalidných, vdovských, vdoveckých a sirotských ktoré boli valorizované nižšou sumou.</w:t>
      </w:r>
    </w:p>
    <w:p w:rsidR="00040E6E" w:rsidRPr="0006475A" w:rsidRDefault="00040E6E" w:rsidP="00040E6E">
      <w:pPr>
        <w:jc w:val="both"/>
        <w:rPr>
          <w:rFonts w:ascii="Times New Roman" w:hAnsi="Times New Roman" w:cs="Times New Roman"/>
        </w:rPr>
      </w:pPr>
      <w:r w:rsidRPr="0006475A">
        <w:rPr>
          <w:rFonts w:ascii="Times New Roman" w:hAnsi="Times New Roman" w:cs="Times New Roman"/>
        </w:rPr>
        <w:t xml:space="preserve">Pokiaľ nedôjde k novelizácii zákona o sociálnom zabezpečení v roku 2019 v ďalších rokoch by sa VD asi mali valorizovať podľa § 68 ods. 16 o percento zvýšenia dôchodkových dávok ustanovených vo všeobecných predpisoch, čím ale pravdepodobne  môže, ale nemusí vzniknúť problém, lebo podľa novelizácii  § 82 sa dôchodková dávka zvyšuje o percento medziročného rastu spotrebiteľských cien za domácnosti dôchodcov o takzvanú dôchodcovskú infláciu. Uvidíme ako sa s týmto  vysporiadajú legislatívci. </w:t>
      </w:r>
    </w:p>
    <w:p w:rsidR="00040E6E" w:rsidRPr="0006475A" w:rsidRDefault="00040E6E" w:rsidP="00040E6E">
      <w:pPr>
        <w:jc w:val="both"/>
        <w:rPr>
          <w:rFonts w:ascii="Times New Roman" w:hAnsi="Times New Roman" w:cs="Times New Roman"/>
        </w:rPr>
      </w:pPr>
      <w:r w:rsidRPr="0006475A">
        <w:rPr>
          <w:rFonts w:ascii="Times New Roman" w:hAnsi="Times New Roman" w:cs="Times New Roman"/>
        </w:rPr>
        <w:t>Ministerka vnútra Denisa Saková dňa 13.júna 2018 pre médiá  povedala,</w:t>
      </w:r>
      <w:r w:rsidR="00961C35" w:rsidRPr="0006475A">
        <w:rPr>
          <w:rFonts w:ascii="Times New Roman" w:hAnsi="Times New Roman" w:cs="Times New Roman"/>
        </w:rPr>
        <w:t xml:space="preserve"> že</w:t>
      </w:r>
      <w:r w:rsidRPr="0006475A">
        <w:rPr>
          <w:rFonts w:ascii="Times New Roman" w:hAnsi="Times New Roman" w:cs="Times New Roman"/>
        </w:rPr>
        <w:t xml:space="preserve"> aktuálna novela je dočasným riešením na rok 2018 preto, že MF SR malo k nej zásadnú pripomienku (aby sa valorizácia VD určovala podľa platného znenia § 68 ods. 16 zákona č. 328/2002 Z. z. o sociálnom zabezpečení policajtov a vojakov), osobitný účet policajtov je v prebytku, ale osobitný účet vojakov je každý rok mínusový. Preto  do budúcna chcú pripraviť taký spôsob valorizácie aby to osobitný účet vojakov uniesol. Ministerstvo vnútra v spolupráci s ministerstvom financií  </w:t>
      </w:r>
      <w:r w:rsidRPr="0006475A">
        <w:rPr>
          <w:rFonts w:ascii="Times New Roman" w:hAnsi="Times New Roman" w:cs="Times New Roman"/>
          <w:b/>
        </w:rPr>
        <w:t>bude pripravovať úplne nový model valorizácie VD</w:t>
      </w:r>
      <w:r w:rsidRPr="0006475A">
        <w:rPr>
          <w:rFonts w:ascii="Times New Roman" w:hAnsi="Times New Roman" w:cs="Times New Roman"/>
        </w:rPr>
        <w:t xml:space="preserve"> v ktorom by boli jasne stanovené pravidlá ako sa valorizuje, aby platil na dlhšie obdobie.</w:t>
      </w:r>
    </w:p>
    <w:tbl>
      <w:tblPr>
        <w:tblW w:w="9418" w:type="dxa"/>
        <w:tblCellSpacing w:w="15" w:type="dxa"/>
        <w:tblLook w:val="04A0" w:firstRow="1" w:lastRow="0" w:firstColumn="1" w:lastColumn="0" w:noHBand="0" w:noVBand="1"/>
      </w:tblPr>
      <w:tblGrid>
        <w:gridCol w:w="8424"/>
        <w:gridCol w:w="994"/>
      </w:tblGrid>
      <w:tr w:rsidR="00040E6E" w:rsidRPr="0006475A" w:rsidTr="00040E6E">
        <w:trPr>
          <w:tblCellSpacing w:w="15" w:type="dxa"/>
        </w:trPr>
        <w:tc>
          <w:tcPr>
            <w:tcW w:w="9358" w:type="dxa"/>
            <w:gridSpan w:val="2"/>
            <w:tcMar>
              <w:top w:w="15" w:type="dxa"/>
              <w:left w:w="15" w:type="dxa"/>
              <w:bottom w:w="15" w:type="dxa"/>
              <w:right w:w="15" w:type="dxa"/>
            </w:tcMar>
            <w:vAlign w:val="center"/>
            <w:hideMark/>
          </w:tcPr>
          <w:p w:rsidR="00040E6E" w:rsidRPr="0006475A" w:rsidRDefault="00040E6E">
            <w:pPr>
              <w:spacing w:before="100" w:beforeAutospacing="1" w:after="100" w:afterAutospacing="1"/>
              <w:jc w:val="both"/>
              <w:rPr>
                <w:rFonts w:ascii="Times New Roman" w:hAnsi="Times New Roman" w:cs="Times New Roman"/>
              </w:rPr>
            </w:pPr>
            <w:r w:rsidRPr="0006475A">
              <w:rPr>
                <w:rFonts w:ascii="Times New Roman" w:hAnsi="Times New Roman" w:cs="Times New Roman"/>
              </w:rPr>
              <w:t xml:space="preserve">Predpokladám, že  ministerka vnútra má pravdepodobne zámysel na rok 2019 a ďalšie roky novelizovať zákon 328 asi na základe nárastu funkčných, hodnostných a tarifných platov jednotlivých zložiek ozbrojencov (možno sa mýlim a hľadajú aj  iné systémové opatrenia čo zatiaľ nie je známe). Ako vieme Sociálna poisťovňa v roku 2018 zo štátneho rozpočtu bude dotovaná 255,4 mld. eur.  Z dôvodu  legislatívnych zmien vykonaných v zákone č. 328 v  roku 2013  zvýšením nároku na VD z 15 na 20 rokov, zvýšením odvodov na dôchodkové poistenie ozbrojencami z 5 na 7 % a zamestnávateľmi zo 17 % na 20 % z hrubého platu atď., osobitné účty okrem vojakov  sú asi od začiatku roku 2017  prebytkové, plusové a nie je potrebné ich zo štátneho rozpočtu dotovať.  Osobitný účet vojakov je potrebné dotovať najmä z dôvodov  </w:t>
            </w:r>
            <w:proofErr w:type="spellStart"/>
            <w:r w:rsidRPr="0006475A">
              <w:rPr>
                <w:rFonts w:ascii="Times New Roman" w:hAnsi="Times New Roman" w:cs="Times New Roman"/>
              </w:rPr>
              <w:t>Reo</w:t>
            </w:r>
            <w:proofErr w:type="spellEnd"/>
            <w:r w:rsidRPr="0006475A">
              <w:rPr>
                <w:rFonts w:ascii="Times New Roman" w:hAnsi="Times New Roman" w:cs="Times New Roman"/>
              </w:rPr>
              <w:t xml:space="preserve"> </w:t>
            </w:r>
            <w:proofErr w:type="spellStart"/>
            <w:r w:rsidRPr="0006475A">
              <w:rPr>
                <w:rFonts w:ascii="Times New Roman" w:hAnsi="Times New Roman" w:cs="Times New Roman"/>
              </w:rPr>
              <w:t>Redi</w:t>
            </w:r>
            <w:proofErr w:type="spellEnd"/>
            <w:r w:rsidRPr="0006475A">
              <w:rPr>
                <w:rFonts w:ascii="Times New Roman" w:hAnsi="Times New Roman" w:cs="Times New Roman"/>
              </w:rPr>
              <w:t xml:space="preserve"> v rokoch 2001-2005 (znižovaním počtu vojakov došlo k  znižovaniu odvodov na dôchodkové poistenie,  došlo k zvyšovaniu počtu poberateľov VD čím vzrástli výdavky osobitného účtu vojakov), z dôvodu vyššieho nárastu  platov vojakov po vstupe do NATO oproti nárastu platov ostatných ozbrojencov v rokoch 2006 a 2007 bola vyššia valorizácia  VD vojakov ako u ostatných VD. Z dôvodu, že chýba asi 4.000 vojakov táto skutočnosť sa prejavuje  v značnom znížení odvedenej sumy na dôchodkové poistenie čo zvyšuje deficit osobitného účtu vojakov.  Z uvedených dôvodov najmä v rezorte obrany  je potrebné prijať špecifické systémové opatrenia na stabilizáciu a znižovanie deficitu  osobitného účtu vojakov. Predpokladám, že ak nedôjde k zásadným  zmenám v stabilizácii  za súčasného stavu osobitný účet vojakov  by pravdepodobne  asi do 15 - 20 rokov mohol byť prebytkový.    </w:t>
            </w:r>
          </w:p>
          <w:p w:rsidR="00040E6E" w:rsidRPr="0006475A" w:rsidRDefault="00040E6E">
            <w:pPr>
              <w:spacing w:before="100" w:beforeAutospacing="1" w:after="100" w:afterAutospacing="1"/>
              <w:jc w:val="both"/>
              <w:rPr>
                <w:rFonts w:ascii="Times New Roman" w:hAnsi="Times New Roman" w:cs="Times New Roman"/>
              </w:rPr>
            </w:pPr>
            <w:r w:rsidRPr="0006475A">
              <w:rPr>
                <w:rFonts w:ascii="Times New Roman" w:hAnsi="Times New Roman" w:cs="Times New Roman"/>
              </w:rPr>
              <w:t xml:space="preserve">Tu je ale dilema akými opatreniami dosiahnuť stabilizáciu osobitných účtov s dôrazom na účet vojakov.   Pre rok 2019 a 2020 vláda pripravuje nárast platov v štátnej službe a v službe vo verejnom                                                                                                                                                          záujme orientačne asi o 10 % ktoré sa niekoľko rokov nezvyšovali, čo je pre budúcu valorizáciu VD výhodné. Vynikajúce, ale čo ďalšie roky? Vieme, že niekoľko rokov sa platy ozbrojencov  nezvyšovali.  To by znamenalo, že v roku 2019 a 2020 by valorizácia VD bola vyššia ako valorizácia SD. Táto </w:t>
            </w:r>
            <w:r w:rsidRPr="0006475A">
              <w:rPr>
                <w:rFonts w:ascii="Times New Roman" w:hAnsi="Times New Roman" w:cs="Times New Roman"/>
              </w:rPr>
              <w:lastRenderedPageBreak/>
              <w:t xml:space="preserve">skutočnosť by mala vplyv na zvyšovanie výdavkov osobitných účtov ktoré by sa pravdepodobne stali deficitné.     </w:t>
            </w:r>
          </w:p>
          <w:p w:rsidR="00040E6E" w:rsidRPr="0006475A" w:rsidRDefault="00197732">
            <w:pPr>
              <w:spacing w:after="0"/>
              <w:rPr>
                <w:rFonts w:ascii="Times New Roman" w:hAnsi="Times New Roman" w:cs="Times New Roman"/>
              </w:rPr>
            </w:pPr>
            <w:r w:rsidRPr="0006475A">
              <w:rPr>
                <w:rFonts w:ascii="Times New Roman" w:hAnsi="Times New Roman" w:cs="Times New Roman"/>
                <w:b/>
              </w:rPr>
              <w:t>DÔVODY  PR</w:t>
            </w:r>
            <w:r w:rsidR="00040E6E" w:rsidRPr="0006475A">
              <w:rPr>
                <w:rFonts w:ascii="Times New Roman" w:hAnsi="Times New Roman" w:cs="Times New Roman"/>
                <w:b/>
              </w:rPr>
              <w:t>EČO</w:t>
            </w:r>
            <w:r w:rsidRPr="0006475A">
              <w:rPr>
                <w:rFonts w:ascii="Times New Roman" w:hAnsi="Times New Roman" w:cs="Times New Roman"/>
                <w:b/>
              </w:rPr>
              <w:t xml:space="preserve">  BY  VALORIZÁCIA  VD  MALA  BYŤ  VYKONÁVANÁ  PODĽA DÔCHODCOVSKE</w:t>
            </w:r>
            <w:r w:rsidR="00040E6E" w:rsidRPr="0006475A">
              <w:rPr>
                <w:rFonts w:ascii="Times New Roman" w:hAnsi="Times New Roman" w:cs="Times New Roman"/>
                <w:b/>
              </w:rPr>
              <w:t xml:space="preserve">J  INFLÁCIE:                                                                                                                            </w:t>
            </w:r>
            <w:r w:rsidR="00040E6E" w:rsidRPr="0006475A">
              <w:rPr>
                <w:rFonts w:ascii="Times New Roman" w:hAnsi="Times New Roman" w:cs="Times New Roman"/>
              </w:rPr>
              <w:t xml:space="preserve">- Medziročný nárast spotrebiteľských cien, dôchodcovská inflácia  rovnako pôsobí na poberateľov VD, ako aj SD a na ich životnú úroveň                                                                                </w:t>
            </w:r>
          </w:p>
          <w:p w:rsidR="00040E6E" w:rsidRPr="0006475A" w:rsidRDefault="00040E6E">
            <w:pPr>
              <w:spacing w:after="0" w:line="240" w:lineRule="auto"/>
              <w:rPr>
                <w:rFonts w:ascii="Times New Roman" w:hAnsi="Times New Roman" w:cs="Times New Roman"/>
              </w:rPr>
            </w:pPr>
            <w:r w:rsidRPr="0006475A">
              <w:rPr>
                <w:rFonts w:ascii="Times New Roman" w:hAnsi="Times New Roman" w:cs="Times New Roman"/>
              </w:rPr>
              <w:t xml:space="preserve">- Na udržanie rovnakej výšky kúpyschopnosti VD  dostatočne reflektuje, zabezpečuje dôchodcovská inflácia                                                                                                    </w:t>
            </w:r>
          </w:p>
          <w:p w:rsidR="00040E6E" w:rsidRPr="0006475A" w:rsidRDefault="00040E6E">
            <w:pPr>
              <w:spacing w:after="0" w:line="240" w:lineRule="auto"/>
              <w:rPr>
                <w:rFonts w:ascii="Times New Roman" w:hAnsi="Times New Roman" w:cs="Times New Roman"/>
              </w:rPr>
            </w:pPr>
            <w:r w:rsidRPr="0006475A">
              <w:rPr>
                <w:rFonts w:ascii="Times New Roman" w:hAnsi="Times New Roman" w:cs="Times New Roman"/>
              </w:rPr>
              <w:t xml:space="preserve">– Z dôvodu nerovnakého nárastu   platov vojakov a v jednotlivých </w:t>
            </w:r>
            <w:r w:rsidR="00197732" w:rsidRPr="0006475A">
              <w:rPr>
                <w:rFonts w:ascii="Times New Roman" w:hAnsi="Times New Roman" w:cs="Times New Roman"/>
              </w:rPr>
              <w:t xml:space="preserve"> ozbrojených, </w:t>
            </w:r>
            <w:r w:rsidRPr="0006475A">
              <w:rPr>
                <w:rFonts w:ascii="Times New Roman" w:hAnsi="Times New Roman" w:cs="Times New Roman"/>
              </w:rPr>
              <w:t xml:space="preserve">bezpečnostných a záchranných zboroch  sa v roku 2013 </w:t>
            </w:r>
            <w:r w:rsidRPr="0006475A">
              <w:rPr>
                <w:rFonts w:ascii="Times New Roman" w:hAnsi="Times New Roman" w:cs="Times New Roman"/>
                <w:u w:val="single"/>
              </w:rPr>
              <w:t>upustilo od valorizácii VD podľa nárastu platov</w:t>
            </w:r>
            <w:r w:rsidRPr="0006475A">
              <w:rPr>
                <w:rFonts w:ascii="Times New Roman" w:hAnsi="Times New Roman" w:cs="Times New Roman"/>
              </w:rPr>
              <w:t xml:space="preserve"> a od 1.7.2018 </w:t>
            </w:r>
            <w:r w:rsidRPr="0006475A">
              <w:rPr>
                <w:rFonts w:ascii="Times New Roman" w:hAnsi="Times New Roman" w:cs="Times New Roman"/>
                <w:u w:val="single"/>
              </w:rPr>
              <w:t>bolo stanovené valorizáciu vykonávať podľa všeobecných predpisov</w:t>
            </w:r>
            <w:r w:rsidRPr="0006475A">
              <w:rPr>
                <w:rFonts w:ascii="Times New Roman" w:hAnsi="Times New Roman" w:cs="Times New Roman"/>
              </w:rPr>
              <w:t xml:space="preserve">                                                                                                                                                                          - Nárast hodnostných, funkčných a tarifných platov nebol a možno ani nebude každý rok                                              </w:t>
            </w:r>
          </w:p>
          <w:p w:rsidR="00040E6E" w:rsidRPr="0006475A" w:rsidRDefault="00040E6E">
            <w:pPr>
              <w:spacing w:after="0"/>
              <w:rPr>
                <w:rFonts w:ascii="Times New Roman" w:hAnsi="Times New Roman" w:cs="Times New Roman"/>
                <w:u w:val="single"/>
              </w:rPr>
            </w:pPr>
            <w:r w:rsidRPr="0006475A">
              <w:rPr>
                <w:rFonts w:ascii="Times New Roman" w:hAnsi="Times New Roman" w:cs="Times New Roman"/>
              </w:rPr>
              <w:t xml:space="preserve"> - Valorizácia dávok výsluhového zabezpečenia by sa mala vykonávať podľa všeobecných predpisov, čo by zabezpečilo rovnaké tempo rastu VD a SD čo by nekritizovali médiá,  čím by sa nezvyšovali rozdiely medzi priemernými výsluhovými a starobnými dôchodkami čo by prispelo k stabilizácii osobitných účtov                                                                                                                                                                                                               - Ak tempo rastu valorizácie VD bude vyššie ako tempo rastu valorizácie SD, dôjde k zvýšeniu nákladov osobitných účtov ktoré sa stanú deficitné                                                                                                       - Ak sa od roku 2019 a v ďalších rokoch budú  VD valorizované podľa dôchodcovskej inflácie  dôjde k ďalšiemu posilneniu  stabilizácie osobitných účtov</w:t>
            </w:r>
            <w:r w:rsidRPr="0006475A">
              <w:rPr>
                <w:rFonts w:ascii="Times New Roman" w:hAnsi="Times New Roman" w:cs="Times New Roman"/>
                <w:u w:val="single"/>
              </w:rPr>
              <w:t xml:space="preserve"> </w:t>
            </w:r>
            <w:r w:rsidRPr="0006475A">
              <w:rPr>
                <w:rFonts w:ascii="Times New Roman" w:hAnsi="Times New Roman" w:cs="Times New Roman"/>
              </w:rPr>
              <w:t xml:space="preserve"> k</w:t>
            </w:r>
            <w:r w:rsidR="009B213E" w:rsidRPr="0006475A">
              <w:rPr>
                <w:rFonts w:ascii="Times New Roman" w:hAnsi="Times New Roman" w:cs="Times New Roman"/>
              </w:rPr>
              <w:t>toré sa aj v ďalších rokoch budú</w:t>
            </w:r>
            <w:r w:rsidRPr="0006475A">
              <w:rPr>
                <w:rFonts w:ascii="Times New Roman" w:hAnsi="Times New Roman" w:cs="Times New Roman"/>
              </w:rPr>
              <w:t xml:space="preserve"> zvyšovať                 - </w:t>
            </w:r>
            <w:r w:rsidRPr="0006475A">
              <w:rPr>
                <w:rFonts w:ascii="Times New Roman" w:hAnsi="Times New Roman" w:cs="Times New Roman"/>
                <w:u w:val="single"/>
              </w:rPr>
              <w:t xml:space="preserve">Ako konštatovala Rada pre rozpočtovú zodpovednosť v Správe o dlhodobej udržateľnosti verejných financií v apríli 2014, prijatím novely došlo k výraznému zlepšeniu udržateľnosti výsluhových penzijných systémov a naviazanie valorizácie na vývoj </w:t>
            </w:r>
            <w:r w:rsidRPr="0006475A">
              <w:rPr>
                <w:rFonts w:ascii="Times New Roman" w:hAnsi="Times New Roman" w:cs="Times New Roman"/>
                <w:b/>
                <w:u w:val="single"/>
              </w:rPr>
              <w:t>dôchodcovskej inflácie</w:t>
            </w:r>
            <w:r w:rsidRPr="0006475A">
              <w:rPr>
                <w:rFonts w:ascii="Times New Roman" w:hAnsi="Times New Roman" w:cs="Times New Roman"/>
                <w:u w:val="single"/>
              </w:rPr>
              <w:t xml:space="preserve"> bolo v tomto kontexte jedným z najdôležitejších opatrení. </w:t>
            </w:r>
          </w:p>
          <w:p w:rsidR="00040E6E" w:rsidRPr="0006475A" w:rsidRDefault="00040E6E">
            <w:pPr>
              <w:spacing w:after="0" w:line="240" w:lineRule="auto"/>
              <w:rPr>
                <w:rFonts w:ascii="Times New Roman" w:hAnsi="Times New Roman" w:cs="Times New Roman"/>
              </w:rPr>
            </w:pPr>
            <w:r w:rsidRPr="0006475A">
              <w:rPr>
                <w:rFonts w:ascii="Times New Roman" w:hAnsi="Times New Roman" w:cs="Times New Roman"/>
              </w:rPr>
              <w:t xml:space="preserve"> - Pri valorizácii VD podľa </w:t>
            </w:r>
            <w:r w:rsidRPr="0006475A">
              <w:rPr>
                <w:rFonts w:ascii="Times New Roman" w:hAnsi="Times New Roman" w:cs="Times New Roman"/>
                <w:u w:val="single"/>
              </w:rPr>
              <w:t>dôchodcovskej inflácie bude možné k ďalšej stabilizácii osobitných účtov  s dôrazom na účet vojakov  priebežne prijať aj ďalšie opatrenia  k nárastu  platov</w:t>
            </w:r>
            <w:r w:rsidRPr="0006475A">
              <w:rPr>
                <w:rFonts w:ascii="Times New Roman" w:hAnsi="Times New Roman" w:cs="Times New Roman"/>
              </w:rPr>
              <w:t xml:space="preserve"> v zložkách ktoré majú vplyv na celkovú výšku platov príslušníkov ozbrojených, bezpečnostných a záchranných zborov, čo prispeje k ďalšej stabilizácii jednotlivých osobitných účtov </w:t>
            </w:r>
          </w:p>
          <w:p w:rsidR="00040E6E" w:rsidRPr="0006475A" w:rsidRDefault="00040E6E">
            <w:pPr>
              <w:spacing w:before="100" w:beforeAutospacing="1" w:after="100" w:afterAutospacing="1"/>
              <w:jc w:val="both"/>
              <w:rPr>
                <w:rFonts w:ascii="Times New Roman" w:hAnsi="Times New Roman" w:cs="Times New Roman"/>
              </w:rPr>
            </w:pPr>
            <w:r w:rsidRPr="0006475A">
              <w:rPr>
                <w:rFonts w:ascii="Times New Roman" w:hAnsi="Times New Roman" w:cs="Times New Roman"/>
              </w:rPr>
              <w:t xml:space="preserve">Z uvedených dôvodov </w:t>
            </w:r>
            <w:r w:rsidRPr="0006475A">
              <w:rPr>
                <w:rFonts w:ascii="Times New Roman" w:hAnsi="Times New Roman" w:cs="Times New Roman"/>
                <w:b/>
              </w:rPr>
              <w:t>valorizácia dávok výsluhového zabezpečenia by mala byť  vykonávaná rovnakým  valorizačným mechanizmom, rovnakým spôsobom  ako  valorizácia dôchodkových dávok</w:t>
            </w:r>
            <w:r w:rsidRPr="0006475A">
              <w:rPr>
                <w:rFonts w:ascii="Times New Roman" w:hAnsi="Times New Roman" w:cs="Times New Roman"/>
              </w:rPr>
              <w:t xml:space="preserve"> podľa všeobecných predpisov o sociálnom poistení.                                                                                                                                                                                              </w:t>
            </w:r>
          </w:p>
          <w:p w:rsidR="00040E6E" w:rsidRPr="0006475A" w:rsidRDefault="00040E6E">
            <w:pPr>
              <w:spacing w:before="100" w:beforeAutospacing="1" w:after="100" w:afterAutospacing="1"/>
              <w:jc w:val="both"/>
              <w:rPr>
                <w:rFonts w:ascii="Times New Roman" w:hAnsi="Times New Roman" w:cs="Times New Roman"/>
              </w:rPr>
            </w:pPr>
            <w:r w:rsidRPr="0006475A">
              <w:rPr>
                <w:rFonts w:ascii="Times New Roman" w:hAnsi="Times New Roman" w:cs="Times New Roman"/>
              </w:rPr>
              <w:t xml:space="preserve">Z dôvodu zmeny valorizačného mechanizmu v § 82 zákona č. 461/2003 Z. z. o sociálnom poistení sa dôchodková dávka zvyšuje o percento medziročného  rastu  spotrebiteľských cien za domácnosti dôchodcov. Rovnakú zmenu odporúčam zapracovať do § 68 zákona č. 328/2002 Z. z.   o sociálnom zabezpečení policajtov a vojakov kde navrhujem doplniť nový odsek 18 takto:                                                    </w:t>
            </w:r>
          </w:p>
          <w:p w:rsidR="00040E6E" w:rsidRPr="0006475A" w:rsidRDefault="00911F19">
            <w:pPr>
              <w:spacing w:before="100" w:beforeAutospacing="1" w:after="100" w:afterAutospacing="1"/>
              <w:jc w:val="both"/>
              <w:rPr>
                <w:rFonts w:ascii="Times New Roman" w:hAnsi="Times New Roman" w:cs="Times New Roman"/>
                <w:i/>
              </w:rPr>
            </w:pPr>
            <w:r w:rsidRPr="0006475A">
              <w:rPr>
                <w:rFonts w:ascii="Times New Roman" w:hAnsi="Times New Roman" w:cs="Times New Roman"/>
                <w:i/>
              </w:rPr>
              <w:t>„</w:t>
            </w:r>
            <w:r w:rsidR="00040E6E" w:rsidRPr="0006475A">
              <w:rPr>
                <w:rFonts w:ascii="Times New Roman" w:hAnsi="Times New Roman" w:cs="Times New Roman"/>
                <w:i/>
              </w:rPr>
              <w:t xml:space="preserve"> 68 ods. 18  Od 1. júla 2018 sa výsluhové dôchodky,  invalidné výsluhové dôchodky, vdovské výsluhové dôchodky, vdovecké výsluhové dôchodky a sirotské  výsluhové dôchodky zvyšujú o percento </w:t>
            </w:r>
            <w:r w:rsidR="00040E6E" w:rsidRPr="0006475A">
              <w:rPr>
                <w:rFonts w:ascii="Times New Roman" w:hAnsi="Times New Roman" w:cs="Times New Roman"/>
                <w:b/>
                <w:i/>
              </w:rPr>
              <w:t>medziročného rastu  spotrebiteľských cien za domácnosti dôchodcov</w:t>
            </w:r>
            <w:r w:rsidR="00040E6E" w:rsidRPr="0006475A">
              <w:rPr>
                <w:rFonts w:ascii="Times New Roman" w:hAnsi="Times New Roman" w:cs="Times New Roman"/>
                <w:i/>
              </w:rPr>
              <w:t xml:space="preserve"> ustanoveného vo všeobecných predpisoch  o sociálnom poistení  na kalendárny rok, v ktorom sa tieto dôchodky z vý</w:t>
            </w:r>
            <w:r w:rsidRPr="0006475A">
              <w:rPr>
                <w:rFonts w:ascii="Times New Roman" w:hAnsi="Times New Roman" w:cs="Times New Roman"/>
                <w:i/>
              </w:rPr>
              <w:t>sluhového zabezpečenia zvyšujú.“</w:t>
            </w:r>
          </w:p>
          <w:p w:rsidR="00040E6E" w:rsidRPr="0006475A" w:rsidRDefault="00040E6E">
            <w:pPr>
              <w:spacing w:before="100" w:beforeAutospacing="1" w:after="100" w:afterAutospacing="1"/>
              <w:jc w:val="both"/>
              <w:rPr>
                <w:rFonts w:ascii="Times New Roman" w:hAnsi="Times New Roman" w:cs="Times New Roman"/>
              </w:rPr>
            </w:pPr>
            <w:r w:rsidRPr="0006475A">
              <w:rPr>
                <w:rFonts w:ascii="Times New Roman" w:hAnsi="Times New Roman" w:cs="Times New Roman"/>
              </w:rPr>
              <w:t xml:space="preserve"> Z dôvodu urýchlenia,  zabezpečenia stabilizácie osobitného účtu vojakov je súčasne nastavený systém potrebné zmeniť, riešiť p</w:t>
            </w:r>
            <w:r w:rsidR="009B213E" w:rsidRPr="0006475A">
              <w:rPr>
                <w:rFonts w:ascii="Times New Roman" w:hAnsi="Times New Roman" w:cs="Times New Roman"/>
              </w:rPr>
              <w:t xml:space="preserve">rijatím takých  opatrení ktoré </w:t>
            </w:r>
            <w:r w:rsidRPr="0006475A">
              <w:rPr>
                <w:rFonts w:ascii="Times New Roman" w:hAnsi="Times New Roman" w:cs="Times New Roman"/>
              </w:rPr>
              <w:t>by v čo najkratšom časovom horizonte zabezpečili  jeho stabilizáciu.  Z dôvodu nezáujmu o službu v OS SR, (každým rokom sa početný stav znižuje)  je potrebné zatraktívniť, zvýšiť prestíž zamestnania profesionálneho  vojaka zvýšením záujmu o túto službu. Je to možné dosiahnuť aj väčším nárastom platov  ako je avizované  10 % zvýšenie v štátnej a verejnej službe. Možno aj  úpravou jednotlivých zložiek ktoré majú</w:t>
            </w:r>
            <w:r w:rsidR="002C0DB6" w:rsidRPr="0006475A">
              <w:rPr>
                <w:rFonts w:ascii="Times New Roman" w:hAnsi="Times New Roman" w:cs="Times New Roman"/>
              </w:rPr>
              <w:t xml:space="preserve"> </w:t>
            </w:r>
            <w:r w:rsidRPr="0006475A">
              <w:rPr>
                <w:rFonts w:ascii="Times New Roman" w:hAnsi="Times New Roman" w:cs="Times New Roman"/>
              </w:rPr>
              <w:t>vplyv na</w:t>
            </w:r>
            <w:r w:rsidR="002C0DB6" w:rsidRPr="0006475A">
              <w:rPr>
                <w:rFonts w:ascii="Times New Roman" w:hAnsi="Times New Roman" w:cs="Times New Roman"/>
              </w:rPr>
              <w:t xml:space="preserve"> nárast celkového platu </w:t>
            </w:r>
            <w:r w:rsidR="002C0DB6" w:rsidRPr="0006475A">
              <w:rPr>
                <w:rFonts w:ascii="Times New Roman" w:hAnsi="Times New Roman" w:cs="Times New Roman"/>
              </w:rPr>
              <w:lastRenderedPageBreak/>
              <w:t>vojakov a celkovým z</w:t>
            </w:r>
            <w:r w:rsidRPr="0006475A">
              <w:rPr>
                <w:rFonts w:ascii="Times New Roman" w:hAnsi="Times New Roman" w:cs="Times New Roman"/>
              </w:rPr>
              <w:t>lepšením podmienok pre službu v OS SR atď. Vykonanie takýchto a ďalších  opatrení prispeje k zatraktívneniu služby vojakov a k naplneniu chýbajúcich asi 4.000 vojakov, čím dôjde k zvýšeniu odvodov na dôchodkové zabezpečenie</w:t>
            </w:r>
            <w:r w:rsidR="002C0DB6" w:rsidRPr="0006475A">
              <w:rPr>
                <w:rFonts w:ascii="Times New Roman" w:hAnsi="Times New Roman" w:cs="Times New Roman"/>
              </w:rPr>
              <w:t>,</w:t>
            </w:r>
            <w:r w:rsidRPr="0006475A">
              <w:rPr>
                <w:rFonts w:ascii="Times New Roman" w:hAnsi="Times New Roman" w:cs="Times New Roman"/>
              </w:rPr>
              <w:t xml:space="preserve"> ktoré prispeje k stabilizácii osobitného účtu vojakov. Takéto opatrenia prispejú k  zvýšeniu záujmu o službu v OS SR, ako aj k stabilizácii osobitného účtu vojakov. V súčasnosti ministerstvo obrany posudzuje  dve varianty ako tento stav riešiť. Niektoré z uvedených opatrení k stabilizácii osobitného účtu vojakov je možná diferencovane vykonať aj  v jednotlivých ozbrojených, bezpečnostných a záchranných zboroch aj keď valorizácia v roku 2019 a v ďalších rokoch by sa vykonávala podľa dôchodcovskej inflácie. </w:t>
            </w:r>
          </w:p>
          <w:p w:rsidR="00040E6E" w:rsidRPr="0006475A" w:rsidRDefault="00040E6E" w:rsidP="005575AC">
            <w:pPr>
              <w:spacing w:before="100" w:beforeAutospacing="1" w:after="100" w:afterAutospacing="1"/>
              <w:jc w:val="both"/>
              <w:rPr>
                <w:rFonts w:ascii="Times New Roman" w:eastAsia="Times New Roman" w:hAnsi="Times New Roman" w:cs="Times New Roman"/>
                <w:sz w:val="24"/>
                <w:szCs w:val="24"/>
                <w:lang w:eastAsia="sk-SK"/>
              </w:rPr>
            </w:pPr>
            <w:r w:rsidRPr="0006475A">
              <w:rPr>
                <w:rFonts w:ascii="Times New Roman" w:hAnsi="Times New Roman" w:cs="Times New Roman"/>
              </w:rPr>
              <w:t xml:space="preserve">Uvidíme akú novelizáciu zákona č. 328/2002 Z. z. o sociálnom zabezpečení policajtov a vojakov, aké opatrenia pre valorizáciu VD  a stabilizáciu  osobitných účtov v roku 2019 a pre ďalšie roky  pripravuje ministerka vnútra Denisa Saková.  Bolo by vhodné, aby sa do avizovanej prípravy novelizácii zákona o sociálnom zabezpečení policajtov a vojakov  zapojili  občianske združenia so vzťahom k ozbrojeným silám, najmä Klub generálov SR, Zväz vojakov SR, Vojenský veterán Bratislava a ďalšie, ako aj APVV.                                             </w:t>
            </w:r>
          </w:p>
        </w:tc>
      </w:tr>
      <w:tr w:rsidR="00040E6E" w:rsidRPr="0006475A" w:rsidTr="00040E6E">
        <w:trPr>
          <w:gridAfter w:val="1"/>
          <w:wAfter w:w="949" w:type="dxa"/>
          <w:trHeight w:val="42"/>
          <w:tblCellSpacing w:w="15" w:type="dxa"/>
        </w:trPr>
        <w:tc>
          <w:tcPr>
            <w:tcW w:w="8379" w:type="dxa"/>
            <w:tcMar>
              <w:top w:w="15" w:type="dxa"/>
              <w:left w:w="15" w:type="dxa"/>
              <w:bottom w:w="15" w:type="dxa"/>
              <w:right w:w="15" w:type="dxa"/>
            </w:tcMar>
            <w:vAlign w:val="center"/>
            <w:hideMark/>
          </w:tcPr>
          <w:p w:rsidR="00040E6E" w:rsidRPr="0006475A" w:rsidRDefault="00040E6E">
            <w:pPr>
              <w:spacing w:after="0"/>
              <w:rPr>
                <w:rFonts w:eastAsiaTheme="minorEastAsia"/>
                <w:lang w:eastAsia="sk-SK"/>
              </w:rPr>
            </w:pPr>
          </w:p>
        </w:tc>
      </w:tr>
      <w:tr w:rsidR="00040E6E" w:rsidRPr="0006475A" w:rsidTr="00040E6E">
        <w:trPr>
          <w:gridAfter w:val="1"/>
          <w:wAfter w:w="949" w:type="dxa"/>
          <w:tblCellSpacing w:w="15" w:type="dxa"/>
        </w:trPr>
        <w:tc>
          <w:tcPr>
            <w:tcW w:w="8379" w:type="dxa"/>
            <w:tcMar>
              <w:top w:w="15" w:type="dxa"/>
              <w:left w:w="15" w:type="dxa"/>
              <w:bottom w:w="15" w:type="dxa"/>
              <w:right w:w="15" w:type="dxa"/>
            </w:tcMar>
            <w:vAlign w:val="center"/>
            <w:hideMark/>
          </w:tcPr>
          <w:p w:rsidR="00040E6E" w:rsidRPr="0006475A" w:rsidRDefault="00040E6E">
            <w:pPr>
              <w:spacing w:after="0"/>
              <w:rPr>
                <w:rFonts w:eastAsiaTheme="minorEastAsia"/>
                <w:lang w:eastAsia="sk-SK"/>
              </w:rPr>
            </w:pPr>
          </w:p>
        </w:tc>
      </w:tr>
      <w:tr w:rsidR="00040E6E" w:rsidRPr="0006475A" w:rsidTr="00040E6E">
        <w:trPr>
          <w:gridAfter w:val="1"/>
          <w:wAfter w:w="949" w:type="dxa"/>
          <w:tblCellSpacing w:w="15" w:type="dxa"/>
        </w:trPr>
        <w:tc>
          <w:tcPr>
            <w:tcW w:w="8379" w:type="dxa"/>
            <w:tcMar>
              <w:top w:w="15" w:type="dxa"/>
              <w:left w:w="15" w:type="dxa"/>
              <w:bottom w:w="15" w:type="dxa"/>
              <w:right w:w="15" w:type="dxa"/>
            </w:tcMar>
            <w:vAlign w:val="center"/>
            <w:hideMark/>
          </w:tcPr>
          <w:p w:rsidR="00040E6E" w:rsidRPr="0006475A" w:rsidRDefault="00040E6E">
            <w:pPr>
              <w:spacing w:after="0"/>
              <w:rPr>
                <w:rFonts w:eastAsiaTheme="minorEastAsia"/>
                <w:lang w:eastAsia="sk-SK"/>
              </w:rPr>
            </w:pPr>
          </w:p>
        </w:tc>
      </w:tr>
      <w:tr w:rsidR="00040E6E" w:rsidRPr="0006475A" w:rsidTr="00040E6E">
        <w:trPr>
          <w:gridAfter w:val="1"/>
          <w:wAfter w:w="949" w:type="dxa"/>
          <w:tblCellSpacing w:w="15" w:type="dxa"/>
        </w:trPr>
        <w:tc>
          <w:tcPr>
            <w:tcW w:w="8379" w:type="dxa"/>
            <w:tcMar>
              <w:top w:w="15" w:type="dxa"/>
              <w:left w:w="15" w:type="dxa"/>
              <w:bottom w:w="15" w:type="dxa"/>
              <w:right w:w="15" w:type="dxa"/>
            </w:tcMar>
            <w:vAlign w:val="center"/>
            <w:hideMark/>
          </w:tcPr>
          <w:p w:rsidR="00040E6E" w:rsidRPr="0006475A" w:rsidRDefault="00040E6E">
            <w:pPr>
              <w:spacing w:after="0"/>
              <w:rPr>
                <w:rFonts w:eastAsiaTheme="minorEastAsia"/>
                <w:lang w:eastAsia="sk-SK"/>
              </w:rPr>
            </w:pPr>
          </w:p>
        </w:tc>
      </w:tr>
      <w:tr w:rsidR="00040E6E" w:rsidRPr="0006475A" w:rsidTr="00040E6E">
        <w:trPr>
          <w:gridAfter w:val="1"/>
          <w:wAfter w:w="949" w:type="dxa"/>
          <w:tblCellSpacing w:w="15" w:type="dxa"/>
        </w:trPr>
        <w:tc>
          <w:tcPr>
            <w:tcW w:w="8379" w:type="dxa"/>
            <w:tcMar>
              <w:top w:w="15" w:type="dxa"/>
              <w:left w:w="15" w:type="dxa"/>
              <w:bottom w:w="15" w:type="dxa"/>
              <w:right w:w="15" w:type="dxa"/>
            </w:tcMar>
            <w:vAlign w:val="center"/>
            <w:hideMark/>
          </w:tcPr>
          <w:p w:rsidR="00040E6E" w:rsidRPr="0006475A" w:rsidRDefault="00040E6E">
            <w:pPr>
              <w:spacing w:after="0"/>
              <w:rPr>
                <w:rFonts w:eastAsiaTheme="minorEastAsia"/>
                <w:lang w:eastAsia="sk-SK"/>
              </w:rPr>
            </w:pPr>
          </w:p>
        </w:tc>
      </w:tr>
      <w:tr w:rsidR="00040E6E" w:rsidRPr="0006475A" w:rsidTr="00040E6E">
        <w:trPr>
          <w:gridAfter w:val="1"/>
          <w:wAfter w:w="949" w:type="dxa"/>
          <w:tblCellSpacing w:w="15" w:type="dxa"/>
        </w:trPr>
        <w:tc>
          <w:tcPr>
            <w:tcW w:w="8379" w:type="dxa"/>
            <w:tcMar>
              <w:top w:w="15" w:type="dxa"/>
              <w:left w:w="15" w:type="dxa"/>
              <w:bottom w:w="15" w:type="dxa"/>
              <w:right w:w="15" w:type="dxa"/>
            </w:tcMar>
            <w:vAlign w:val="center"/>
            <w:hideMark/>
          </w:tcPr>
          <w:p w:rsidR="00040E6E" w:rsidRPr="0006475A" w:rsidRDefault="00040E6E">
            <w:pPr>
              <w:spacing w:after="0"/>
              <w:rPr>
                <w:rFonts w:eastAsiaTheme="minorEastAsia"/>
                <w:lang w:eastAsia="sk-SK"/>
              </w:rPr>
            </w:pPr>
          </w:p>
        </w:tc>
      </w:tr>
    </w:tbl>
    <w:p w:rsidR="00040E6E" w:rsidRPr="0006475A" w:rsidRDefault="00040E6E" w:rsidP="00040E6E">
      <w:pPr>
        <w:spacing w:after="0"/>
        <w:rPr>
          <w:rFonts w:ascii="Times New Roman" w:hAnsi="Times New Roman" w:cs="Times New Roman"/>
        </w:rPr>
      </w:pPr>
      <w:r w:rsidRPr="0006475A">
        <w:rPr>
          <w:rFonts w:ascii="Times New Roman" w:hAnsi="Times New Roman" w:cs="Times New Roman"/>
        </w:rPr>
        <w:t xml:space="preserve">Spracoval:                                                              Dr. Milan Kolen                                                                                                                               </w:t>
      </w:r>
    </w:p>
    <w:p w:rsidR="00040E6E" w:rsidRDefault="00040E6E" w:rsidP="00040E6E">
      <w:pPr>
        <w:spacing w:after="0"/>
        <w:rPr>
          <w:rFonts w:ascii="Times New Roman" w:hAnsi="Times New Roman" w:cs="Times New Roman"/>
        </w:rPr>
      </w:pPr>
      <w:r w:rsidRPr="0006475A">
        <w:rPr>
          <w:rFonts w:ascii="Times New Roman" w:hAnsi="Times New Roman" w:cs="Times New Roman"/>
        </w:rPr>
        <w:t xml:space="preserve">                                                          člen VVB a člen sociálnej komisie ZV SR</w:t>
      </w:r>
    </w:p>
    <w:p w:rsidR="00911F19" w:rsidRDefault="00911F19" w:rsidP="00040E6E">
      <w:pPr>
        <w:spacing w:after="0"/>
        <w:rPr>
          <w:rFonts w:ascii="Times New Roman" w:hAnsi="Times New Roman" w:cs="Times New Roman"/>
        </w:rPr>
      </w:pPr>
    </w:p>
    <w:p w:rsidR="00911F19" w:rsidRDefault="00911F19" w:rsidP="00040E6E">
      <w:pPr>
        <w:spacing w:after="0"/>
        <w:rPr>
          <w:rFonts w:ascii="Times New Roman" w:hAnsi="Times New Roman" w:cs="Times New Roman"/>
        </w:rPr>
      </w:pPr>
    </w:p>
    <w:p w:rsidR="00040E6E" w:rsidRDefault="00040E6E" w:rsidP="00040E6E">
      <w:r>
        <w:rPr>
          <w:rFonts w:ascii="Times New Roman" w:eastAsia="Times New Roman" w:hAnsi="Times New Roman" w:cs="Times New Roman"/>
          <w:sz w:val="24"/>
          <w:szCs w:val="24"/>
          <w:lang w:eastAsia="sk-SK"/>
        </w:rPr>
        <w:t xml:space="preserve">                                     </w:t>
      </w:r>
      <w:r w:rsidR="00626F2C">
        <w:rPr>
          <w:rFonts w:ascii="Times New Roman" w:eastAsia="Times New Roman" w:hAnsi="Times New Roman" w:cs="Times New Roman"/>
          <w:sz w:val="24"/>
          <w:szCs w:val="24"/>
          <w:lang w:eastAsia="sk-SK"/>
        </w:rPr>
        <w:t xml:space="preserve"> </w:t>
      </w:r>
    </w:p>
    <w:sectPr w:rsidR="00040E6E" w:rsidSect="00B45E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D1E"/>
    <w:rsid w:val="00040E6E"/>
    <w:rsid w:val="0006475A"/>
    <w:rsid w:val="00197732"/>
    <w:rsid w:val="001B2551"/>
    <w:rsid w:val="002C0DB6"/>
    <w:rsid w:val="003C5E66"/>
    <w:rsid w:val="0048262F"/>
    <w:rsid w:val="004C5D1E"/>
    <w:rsid w:val="005575AC"/>
    <w:rsid w:val="00626F2C"/>
    <w:rsid w:val="007C3D29"/>
    <w:rsid w:val="00911F19"/>
    <w:rsid w:val="00961C35"/>
    <w:rsid w:val="009B213E"/>
    <w:rsid w:val="00B45E2F"/>
    <w:rsid w:val="00D71E2E"/>
    <w:rsid w:val="00DE0524"/>
    <w:rsid w:val="00EB369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A707E5-7E14-4CEB-A091-37844D34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45E2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040E6E"/>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040E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68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2728</Words>
  <Characters>15553</Characters>
  <Application>Microsoft Office Word</Application>
  <DocSecurity>0</DocSecurity>
  <Lines>129</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Používateľ systému Windows</cp:lastModifiedBy>
  <cp:revision>2</cp:revision>
  <dcterms:created xsi:type="dcterms:W3CDTF">2018-09-11T16:18:00Z</dcterms:created>
  <dcterms:modified xsi:type="dcterms:W3CDTF">2018-09-11T16:18:00Z</dcterms:modified>
</cp:coreProperties>
</file>